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line="640" w:lineRule="exact"/>
        <w:jc w:val="center"/>
        <w:rPr>
          <w:rFonts w:ascii="方正小标宋简体" w:hAnsi="Calibri" w:eastAsia="方正小标宋简体" w:cs="方正小标宋简体"/>
          <w:kern w:val="2"/>
          <w:sz w:val="44"/>
          <w:szCs w:val="44"/>
        </w:rPr>
      </w:pPr>
      <w:bookmarkStart w:id="0" w:name="_GoBack"/>
      <w:r>
        <w:rPr>
          <w:rFonts w:hint="eastAsia" w:ascii="方正小标宋简体" w:hAnsi="Calibri" w:eastAsia="方正小标宋简体" w:cs="方正小标宋简体"/>
          <w:kern w:val="2"/>
          <w:sz w:val="44"/>
          <w:szCs w:val="44"/>
        </w:rPr>
        <w:t>安庆市中职中小学（幼儿园）教师</w:t>
      </w:r>
    </w:p>
    <w:p>
      <w:pPr>
        <w:widowControl w:val="0"/>
        <w:adjustRightInd/>
        <w:snapToGrid/>
        <w:spacing w:line="640" w:lineRule="exact"/>
        <w:jc w:val="center"/>
        <w:rPr>
          <w:rFonts w:ascii="方正小标宋简体" w:hAnsi="Calibri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Calibri" w:eastAsia="方正小标宋简体" w:cs="方正小标宋简体"/>
          <w:kern w:val="2"/>
          <w:sz w:val="44"/>
          <w:szCs w:val="44"/>
        </w:rPr>
        <w:t>师德考核负面清单</w:t>
      </w:r>
    </w:p>
    <w:bookmarkEnd w:id="0"/>
    <w:p>
      <w:pPr>
        <w:widowControl w:val="0"/>
        <w:adjustRightInd/>
        <w:snapToGrid/>
        <w:spacing w:line="640" w:lineRule="exact"/>
        <w:jc w:val="center"/>
        <w:rPr>
          <w:rFonts w:ascii="方正小标宋简体" w:hAnsi="Calibri" w:eastAsia="方正小标宋简体" w:cs="Times New Roman"/>
          <w:kern w:val="2"/>
          <w:sz w:val="44"/>
          <w:szCs w:val="44"/>
        </w:rPr>
      </w:pP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为贯彻落实《中共中央国务院关于全面深化新时代教师队伍建设改革的意见》（中发〔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2018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4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号），根据《教育部关于印发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&lt;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严禁中小学校和在职中小学教师有偿补课的规定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&gt;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的通知》（教师〔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2015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5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号）、《中小学教师违反职业道德行为处理办法》（教师〔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2014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号）、《教育部关于建立健全中小学教师师德建设长效机制的意见》（教师〔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2013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〕</w:t>
      </w: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10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号）等文件精神，结合我市实际，制定安庆市中职中小学（幼儿园）教师师德考核负面清单。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教育教学活动中有违背党和国家方针政策言行；传播、散布损害国家主权、安全和社会公共利益的言论；传播宗教和宣传封建迷信；传播有害学生身心健康的观点和思想。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在招生、考试、考核评价、职务评审、教研科研中弄虚作假、营私舞弊的。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3.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组织或者参与针对学生的经营性活动，或者强制学生订购或推销教辅资料、报刊、生活用品、社会保险等谋取利益或获取回扣。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4.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体罚学生和以侮辱、歧视等方式变相体罚学生，造成学生身心伤害。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5.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对学生实施性骚扰或者与学生发生不正当关系。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6.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索要或接受学生及家长赠送的礼品礼金、有价证券和支付凭证等财物；参加由学生及家长安排支付费用的旅游、健身休闲等娱乐活动；让学生及家长支付或报销应由教师个人或亲属承担的费用；参加由学生及家长安排的可能影响考试、考核评价的宴请；利用职务之便谋取不正当利益的其他行为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7.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组织、推荐和诱导学生参加校内外有偿补课；为校外培训机构和他人介绍生源、提供相关信息；参加校外培训机构或由其他教师、家长、家长委员会等组织的有偿补课。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8.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在教育教学活动中遇突发事件时，不履行保护学生人身安全职责。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9.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教育教学活动和学生管理、评价中不公平公正对待学生，产生明显负面影响。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10.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违反学校管理规定及相关劳动纪律，参与违反社会公德和职业道德的不健康不文明活动。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11.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以非法方式表达诉求，干扰正常教育教学秩序、损害学生利益、毁损学校名誉。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仿宋_GB2312" w:hAnsi="仿宋" w:eastAsia="仿宋_GB2312" w:cs="仿宋_GB2312"/>
          <w:color w:val="000000"/>
          <w:kern w:val="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2"/>
          <w:sz w:val="32"/>
          <w:szCs w:val="32"/>
        </w:rPr>
        <w:t>12.</w:t>
      </w: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其他严重违反职业道德的行为。</w:t>
      </w:r>
    </w:p>
    <w:p>
      <w:pPr>
        <w:widowControl w:val="0"/>
        <w:adjustRightInd/>
        <w:snapToGrid/>
        <w:spacing w:line="520" w:lineRule="exact"/>
        <w:ind w:firstLine="640" w:firstLineChars="200"/>
        <w:jc w:val="both"/>
        <w:rPr>
          <w:rFonts w:ascii="Calibri" w:hAnsi="Calibri" w:eastAsia="宋体" w:cs="Calibri"/>
          <w:kern w:val="2"/>
          <w:sz w:val="21"/>
          <w:szCs w:val="21"/>
        </w:rPr>
      </w:pPr>
      <w:r>
        <w:rPr>
          <w:rFonts w:hint="eastAsia" w:ascii="仿宋_GB2312" w:hAnsi="仿宋" w:eastAsia="仿宋_GB2312" w:cs="仿宋_GB2312"/>
          <w:color w:val="000000"/>
          <w:kern w:val="2"/>
          <w:sz w:val="32"/>
          <w:szCs w:val="32"/>
        </w:rPr>
        <w:t>本清单适用于本市范围内普通中小学、中等职业学校、幼儿园、特殊教育学校、国防教育学校、青少年社会实践基地、少年宫以及教研、电化教育等机构的教师。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55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2019-10-12T08:02:23Z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